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C" w:rsidRPr="009B23CC" w:rsidRDefault="00526AAC" w:rsidP="00526AA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526AAC" w:rsidRPr="009B23CC" w:rsidRDefault="00526AAC" w:rsidP="00526A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3CC">
        <w:rPr>
          <w:rFonts w:ascii="Times New Roman" w:eastAsia="Calibri" w:hAnsi="Times New Roman" w:cs="Times New Roman"/>
          <w:b/>
          <w:sz w:val="24"/>
          <w:szCs w:val="24"/>
        </w:rPr>
        <w:t>Паспорт практики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«Глазовский Карнавал» 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427620, Удмуртская Республика, город Глазов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3. Наименование практики-донора</w:t>
      </w:r>
    </w:p>
    <w:p w:rsidR="00526AAC" w:rsidRPr="009B23CC" w:rsidRDefault="00526AAC" w:rsidP="00526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 xml:space="preserve">Заполняется только для </w:t>
      </w:r>
      <w:r w:rsidRPr="009B23CC">
        <w:rPr>
          <w:rFonts w:ascii="Times New Roman" w:eastAsia="Calibri" w:hAnsi="Times New Roman" w:cs="Times New Roman"/>
          <w:i/>
          <w:sz w:val="24"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4. Предпосылки реализации 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379" w:type="dxa"/>
          </w:tcPr>
          <w:p w:rsidR="00526AAC" w:rsidRDefault="00526AAC" w:rsidP="007065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в проведение Глазовского Карнавала в 2000 году стало то, что нашему городу для снятия общего социального напряжения необходимо событие, способное объединить всех горожан, независимо от их политических пристрастий, социально-экономического положения и культурного уровня.</w:t>
            </w:r>
          </w:p>
          <w:p w:rsidR="00526AAC" w:rsidRDefault="00526AAC" w:rsidP="007065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первого Глазовского Карнавала считали символичным, что именно в День города развернуть на улицах города карнавальное действо, способное активизировать позитивную творческую энергию горожан, объединить разные возрастные и профессиональные группы. На карнавале не будет разделения на зрителей и исполнителей, все переплетется и смешается в единый красочный водоворот, где главным действующим лицом станут простые люди.</w:t>
            </w:r>
          </w:p>
          <w:p w:rsidR="00526AAC" w:rsidRPr="009B23CC" w:rsidRDefault="00526AAC" w:rsidP="007065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Ядром Карнавала стало Карнавальное, праздничное шествие, в котором принимали и принимают участие предприятия, организации, учреждения города, 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6AA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9B23CC">
        <w:rPr>
          <w:rFonts w:ascii="Times New Roman" w:eastAsia="Calibri" w:hAnsi="Times New Roman" w:cs="Times New Roman"/>
          <w:sz w:val="24"/>
          <w:szCs w:val="24"/>
        </w:rPr>
        <w:t>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Глазовский Карнавал (2000-2022 гг.) проводится ежегодно, в рамках городского праздника «День города».</w:t>
            </w:r>
          </w:p>
          <w:p w:rsidR="00526AAC" w:rsidRDefault="00526AAC" w:rsidP="00526AAC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10.06.2018 г. - городской конкурс на лучшую праздничную колонну 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 связующая нить…»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смысловая фраза, которая соедини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</w:t>
            </w:r>
            <w:r w:rsidRPr="00F8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невидимым пунктиром наше прошлое и настоящее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26AAC" w:rsidRDefault="00526AAC" w:rsidP="00526AAC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08.06.2019 г. - городской конкурс на лучшую праздничную колонну 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>«Время быть здоровым…»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1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(посвящено Году здоровья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1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Удмуртии)</w:t>
            </w:r>
          </w:p>
          <w:p w:rsidR="00526AAC" w:rsidRDefault="00526AAC" w:rsidP="00526AAC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12.06.2021 г.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на лучшую праздничную колонну 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>«Твори добро во благо мира…»</w:t>
            </w:r>
            <w:r w:rsidRPr="001C1D3E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(посвящено добрым делам, поступкам)</w:t>
            </w:r>
          </w:p>
          <w:p w:rsidR="00526AAC" w:rsidRPr="003330A8" w:rsidRDefault="00526AAC" w:rsidP="00526AAC">
            <w:pPr>
              <w:pStyle w:val="a5"/>
              <w:numPr>
                <w:ilvl w:val="0"/>
                <w:numId w:val="1"/>
              </w:numPr>
              <w:spacing w:after="0" w:line="276" w:lineRule="auto"/>
              <w:ind w:left="4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04.06.2022 г. городской конкурс на лучшую праздничную колонну </w:t>
            </w:r>
            <w:r w:rsidRPr="00326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Удмуртия – гордость моя»</w:t>
            </w:r>
            <w:r w:rsidRPr="00A735B9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(посвящено </w:t>
            </w:r>
            <w:r w:rsidRPr="00A735B9">
              <w:rPr>
                <w:rFonts w:ascii="Times New Roman" w:eastAsia="Calibri" w:hAnsi="Times New Roman" w:cs="Times New Roman"/>
                <w:sz w:val="24"/>
                <w:szCs w:val="24"/>
              </w:rPr>
              <w:t>Году народного искусства и нематериального культурного наследия народов России)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9B23CC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379" w:type="dxa"/>
          </w:tcPr>
          <w:p w:rsidR="00526AAC" w:rsidRDefault="00526AAC" w:rsidP="0070657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0E78">
              <w:rPr>
                <w:rFonts w:ascii="Times New Roman" w:hAnsi="Times New Roman" w:cs="Times New Roman"/>
                <w:sz w:val="24"/>
                <w:szCs w:val="24"/>
              </w:rPr>
              <w:t>Город Глазов - самый северный город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C50E78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многоотраслевой экономикой, объединяющей высокотехнологичные предприятия атомной промышленности, машиностроения, стройматериалов, лесной и деревообрабатывающей, лёгкой, пищевой и ликёроводочной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AAC" w:rsidRDefault="00526AAC" w:rsidP="0070657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Глазов - индустриальный центр Удмуртии.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По объёмам промышленного производства занимающий второе место в регионе. </w:t>
            </w:r>
          </w:p>
          <w:p w:rsidR="00526AAC" w:rsidRPr="009B23CC" w:rsidRDefault="00526AAC" w:rsidP="00706576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</w:t>
            </w:r>
            <w:r w:rsidRPr="00C50E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феврале 2019 года город получил статус «территории опережающего развития»</w:t>
            </w:r>
            <w:r w:rsidRPr="00C5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ТОР «Глазов» позволит к 2027 году диверсифицировать экономику города, снизить зависимость от градообразующего предприятия – АО «Чепецкий механический завод», повысить инвестиционную привлекательность города, создать более 2500 постоянных рабочих мест, привлечь инвестиции.</w:t>
            </w:r>
          </w:p>
        </w:tc>
      </w:tr>
    </w:tbl>
    <w:p w:rsidR="00526AAC" w:rsidRDefault="00526AAC" w:rsidP="00526AAC">
      <w:pPr>
        <w:spacing w:after="0" w:line="36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Default="00526AAC" w:rsidP="00706576">
            <w:pPr>
              <w:spacing w:after="0" w:line="276" w:lineRule="auto"/>
              <w:jc w:val="both"/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</w:pPr>
            <w:r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Цель: Актуализация нравственных (духовных, душевных) потребностей, организация досуга и стимуляция творческой активности участников карнавала (шествия), объединенных общей идеей праздника.</w:t>
            </w:r>
          </w:p>
          <w:p w:rsidR="00526AAC" w:rsidRPr="00D30B64" w:rsidRDefault="00526AAC" w:rsidP="00706576">
            <w:pPr>
              <w:spacing w:after="0" w:line="276" w:lineRule="auto"/>
              <w:jc w:val="both"/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</w:pPr>
            <w:r>
              <w:rPr>
                <w:rFonts w:ascii="PTF55F-webfont" w:eastAsia="Calibri" w:hAnsi="PTF55F-webfont" w:cs="Times New Roman"/>
                <w:color w:val="000000"/>
                <w:sz w:val="24"/>
                <w:szCs w:val="24"/>
              </w:rPr>
              <w:t>Задачи:</w:t>
            </w:r>
          </w:p>
          <w:p w:rsidR="00526AAC" w:rsidRPr="00D30B64" w:rsidRDefault="00526AAC" w:rsidP="007065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общей культуры праздника;</w:t>
            </w:r>
          </w:p>
          <w:p w:rsidR="00526AAC" w:rsidRPr="00D30B64" w:rsidRDefault="00526AAC" w:rsidP="007065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активизация позитивной творческой энергии горожан;</w:t>
            </w:r>
          </w:p>
          <w:p w:rsidR="00526AAC" w:rsidRPr="00D30B64" w:rsidRDefault="00526AAC" w:rsidP="007065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объединение возрастных и профессиональных групп;</w:t>
            </w:r>
          </w:p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64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внутреннего потенциала промышленных предприятий, учреждений и организаций города через   творческую форму работы.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3"/>
      </w:tblGrid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526AA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по 2 категориям: предприятия и учреждения высшего и среднего образования.</w:t>
            </w:r>
          </w:p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проведения практики приняли участие:</w:t>
            </w:r>
          </w:p>
        </w:tc>
      </w:tr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526AAC" w:rsidRPr="009B23CC" w:rsidRDefault="00526AAC" w:rsidP="00526A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 - 15 предприятий и учреждений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г. - 16 предприятий и учреждений города.</w:t>
            </w:r>
          </w:p>
        </w:tc>
      </w:tr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 - 14 предприятий и учреждений города.</w:t>
            </w:r>
          </w:p>
        </w:tc>
      </w:tr>
      <w:tr w:rsidR="00526AAC" w:rsidRPr="009B23CC" w:rsidTr="00706576">
        <w:tc>
          <w:tcPr>
            <w:tcW w:w="596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 - 15 предприятий и учреждений города.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lastRenderedPageBreak/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526AAC" w:rsidRPr="009B23CC" w:rsidTr="00706576">
        <w:tc>
          <w:tcPr>
            <w:tcW w:w="977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2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526AAC" w:rsidRPr="009B23CC" w:rsidTr="00706576">
        <w:tc>
          <w:tcPr>
            <w:tcW w:w="977" w:type="dxa"/>
          </w:tcPr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 – единство праздника и зрелищность действа.</w:t>
            </w:r>
          </w:p>
        </w:tc>
      </w:tr>
      <w:tr w:rsidR="00526AAC" w:rsidRPr="009B23CC" w:rsidTr="00706576">
        <w:trPr>
          <w:trHeight w:val="657"/>
        </w:trPr>
        <w:tc>
          <w:tcPr>
            <w:tcW w:w="977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526AAC" w:rsidRDefault="00526AAC" w:rsidP="007065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 – подход в решении поставленных задач для проведения практики.</w:t>
            </w:r>
          </w:p>
        </w:tc>
      </w:tr>
      <w:tr w:rsidR="00526AAC" w:rsidRPr="009B23CC" w:rsidTr="00706576">
        <w:tc>
          <w:tcPr>
            <w:tcW w:w="977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526AAC" w:rsidRDefault="00526AAC" w:rsidP="007065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Приоритетность -</w:t>
            </w:r>
            <w:r w:rsidRPr="00AC0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всех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шествия под одной общей иди подарить городу Глазову праздник</w:t>
            </w:r>
            <w:r w:rsidRPr="00AC0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10. Результаты практики </w:t>
      </w:r>
      <w:r w:rsidRPr="009B23CC">
        <w:rPr>
          <w:rFonts w:ascii="Times New Roman" w:eastAsia="Calibri" w:hAnsi="Times New Roman" w:cs="Times New Roman"/>
          <w:i/>
          <w:sz w:val="24"/>
          <w:szCs w:val="24"/>
        </w:rPr>
        <w:t>(что было достигнуто)</w:t>
      </w: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82"/>
        <w:gridCol w:w="2413"/>
        <w:gridCol w:w="2414"/>
      </w:tblGrid>
      <w:tr w:rsidR="00526AAC" w:rsidRPr="009B23CC" w:rsidTr="00706576">
        <w:tc>
          <w:tcPr>
            <w:tcW w:w="936" w:type="dxa"/>
            <w:vMerge w:val="restart"/>
            <w:vAlign w:val="center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26AAC" w:rsidRPr="009B23CC" w:rsidTr="00706576">
        <w:tc>
          <w:tcPr>
            <w:tcW w:w="936" w:type="dxa"/>
            <w:vMerge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526AAC" w:rsidRPr="009B23CC" w:rsidTr="00706576">
        <w:tc>
          <w:tcPr>
            <w:tcW w:w="936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участников, чел.</w:t>
            </w:r>
          </w:p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зрителей, чел.</w:t>
            </w:r>
          </w:p>
        </w:tc>
        <w:tc>
          <w:tcPr>
            <w:tcW w:w="2413" w:type="dxa"/>
          </w:tcPr>
          <w:p w:rsidR="00526AA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 чел.</w:t>
            </w:r>
          </w:p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 чел.</w:t>
            </w:r>
          </w:p>
        </w:tc>
        <w:tc>
          <w:tcPr>
            <w:tcW w:w="2414" w:type="dxa"/>
          </w:tcPr>
          <w:p w:rsidR="00526AA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 чел.</w:t>
            </w:r>
          </w:p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80 000 чел.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65"/>
        <w:gridCol w:w="4976"/>
      </w:tblGrid>
      <w:tr w:rsidR="00526AAC" w:rsidRPr="009B23CC" w:rsidTr="00706576">
        <w:tc>
          <w:tcPr>
            <w:tcW w:w="704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976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 практики</w:t>
            </w:r>
          </w:p>
        </w:tc>
        <w:tc>
          <w:tcPr>
            <w:tcW w:w="4976" w:type="dxa"/>
          </w:tcPr>
          <w:p w:rsidR="00526AAC" w:rsidRPr="000739B3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7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положения о проведении праздничного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Карнавала/</w:t>
            </w:r>
            <w:r w:rsidRPr="000739B3">
              <w:rPr>
                <w:rFonts w:ascii="Times New Roman" w:eastAsia="Calibri" w:hAnsi="Times New Roman" w:cs="Times New Roman"/>
                <w:sz w:val="24"/>
                <w:szCs w:val="24"/>
              </w:rPr>
              <w:t>шествия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739B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для участия в праздничном шествии (предприятия и учреждения города)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3.Определение маршрута движения участников Карнавала/шествия.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организационных совещаний (3-4 раза за период подготовки).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Репетиционная деятельность с участниками шествия на площадке проведения мероприятия (2 репетиции).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Определение состава жюри конкурса.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Написание сценария и приветствие официальных лиц участников Глазовского Карнавала/шествия.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Работа с жюри Карнавала/шествия.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Подведение итогов Карнавала/шествия.</w:t>
            </w:r>
          </w:p>
          <w:p w:rsidR="00526AAC" w:rsidRPr="000739B3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Написание сценария церемонии награждения участников Карнавала/шествия (закрытие праздника). 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(5 чел.)</w:t>
            </w:r>
          </w:p>
        </w:tc>
        <w:tc>
          <w:tcPr>
            <w:tcW w:w="4976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Рассылка положений, писем на предприятия и учреждения города.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Рассылка телефонограмм на организационные совещания.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макетов дипломов. Печать дипломов.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в репетиционной деятельности.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Построение, движение колон в день проведения мероприятия.</w:t>
            </w:r>
          </w:p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Фото, видео сопровождение мероприятия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5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4976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оснащение Глазовского карнавала.</w:t>
            </w:r>
          </w:p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Репетиционная деятельность.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526AAC" w:rsidRPr="009B23CC" w:rsidTr="00706576">
        <w:tc>
          <w:tcPr>
            <w:tcW w:w="4361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26AAC" w:rsidRPr="009B23CC" w:rsidTr="00706576">
        <w:tc>
          <w:tcPr>
            <w:tcW w:w="4361" w:type="dxa"/>
          </w:tcPr>
          <w:p w:rsidR="00526AAC" w:rsidRPr="009B23CC" w:rsidRDefault="00526AAC" w:rsidP="0070657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5210" w:type="dxa"/>
          </w:tcPr>
          <w:p w:rsidR="00526AAC" w:rsidRPr="009B23CC" w:rsidRDefault="00526AAC" w:rsidP="0070657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20 000 чел.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6AAC" w:rsidRPr="009B23CC" w:rsidTr="00706576">
        <w:tc>
          <w:tcPr>
            <w:tcW w:w="9571" w:type="dxa"/>
          </w:tcPr>
          <w:p w:rsidR="00526AAC" w:rsidRPr="009A02C7" w:rsidRDefault="00526AAC" w:rsidP="007065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36457642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 xml:space="preserve">а реализацию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Глазовского Карнавала в 2018 -2022 гг. привлечены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AAC" w:rsidRPr="009A02C7" w:rsidRDefault="00526AAC" w:rsidP="007065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спонсорские средства (услуги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 xml:space="preserve"> транспортные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художественно-оформительские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(баннер).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02C7">
              <w:rPr>
                <w:rFonts w:ascii="Times New Roman" w:hAnsi="Times New Roman"/>
                <w:sz w:val="24"/>
                <w:szCs w:val="24"/>
              </w:rPr>
              <w:t>- собственные средства (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головной машины (каркас)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, шары)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AAC" w:rsidRPr="009A02C7" w:rsidRDefault="00526AAC" w:rsidP="007065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местный бюджет МО «Город Глазов» (призовой фонд конкурса)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оформление колон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шествия</w:t>
            </w:r>
            <w:r w:rsidRPr="009A0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собственных средств предприятий и учреждений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6AAC" w:rsidRPr="009B23CC" w:rsidTr="00706576">
        <w:tc>
          <w:tcPr>
            <w:tcW w:w="9571" w:type="dxa"/>
          </w:tcPr>
          <w:p w:rsidR="00526AAC" w:rsidRDefault="00526AAC" w:rsidP="00706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Карнавал (2000 г.), являлся пилотной акцией, признанной привлечь широкое внимание к самой идеи Карнавала и вот уже 22 года Глазовский Карнавал стал доброй традицией городского праздника «День города». </w:t>
            </w:r>
          </w:p>
          <w:p w:rsidR="00526AAC" w:rsidRDefault="00526AAC" w:rsidP="00706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шествия зависит прежде всего от общей концепции праздника. Каждый год – это новые творческие проекты, которые воплощают предприятия и учреждения города. </w:t>
            </w:r>
          </w:p>
          <w:p w:rsidR="00526AAC" w:rsidRDefault="00526AAC" w:rsidP="00706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колон прописана в положении шествия. Путем жеребьевки участники выбирают тему, которую будут воплощать. (см. Приложение).</w:t>
            </w:r>
          </w:p>
          <w:p w:rsidR="00526AAC" w:rsidRPr="00F81C1A" w:rsidRDefault="00526AAC" w:rsidP="00706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шествия 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 связующая нить…»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смысловая фраза, которая должна соединить невидимым пунктиром наше прошлое и настоящее:</w:t>
            </w:r>
            <w:r w:rsidRPr="00F8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старинные летописи и обряды, легенды и сказания, прошлое наших городов и стран, людей, народов, поколений -  все то, что связывает настоящее время с годами, канувшими в лету…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26AAC" w:rsidRPr="007B6557" w:rsidRDefault="00526AAC" w:rsidP="0070657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шествия 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>«Время быть здоровым…»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(посвящено Году здоровья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1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Удмуртии)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Шествие, посвященное Году здоровья, раскрыло духовное и физическое богатство жителей нашего города, отразило глобальный социальный аспект, основную составляющую часть жизни города в целом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6AAC" w:rsidRPr="00AC5AD8" w:rsidRDefault="00526AAC" w:rsidP="007065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шествия</w:t>
            </w:r>
            <w:r w:rsidRPr="0016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«Твори добро во благо мира…</w:t>
            </w:r>
            <w:r w:rsidRPr="00F0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было </w:t>
            </w:r>
            <w:r w:rsidRPr="00AC5A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посвящено добрым делам, поступкам, которые мы совершаем каждый день во благо города, республики, нашей России.</w:t>
            </w:r>
            <w:r w:rsidRPr="00F0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AAC" w:rsidRPr="00FE1E99" w:rsidRDefault="00526AAC" w:rsidP="00706576">
            <w:pPr>
              <w:spacing w:after="0" w:line="276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шествия </w:t>
            </w:r>
            <w:r w:rsidRPr="00FE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Удмуртия- гордость моя» </w:t>
            </w:r>
            <w:r w:rsidRPr="00FE1E9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это смысловая фраза, которая </w:t>
            </w:r>
            <w:r w:rsidRPr="00FE1E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раскрыла </w:t>
            </w:r>
            <w:r w:rsidRPr="00FE1E99">
              <w:rPr>
                <w:rFonts w:ascii="Times New Roman" w:eastAsia="Calibri" w:hAnsi="Times New Roman" w:cs="Times New Roman"/>
                <w:sz w:val="24"/>
                <w:szCs w:val="24"/>
              </w:rPr>
              <w:t>многонациональную Удмуртскую Республику со своими многовековыми обычаями, обрядами, памятниками культуры, истории, архитектуры, достижениями и людьми, которыми можно гордиться.</w:t>
            </w:r>
          </w:p>
          <w:p w:rsidR="00526AAC" w:rsidRPr="00FE1E99" w:rsidRDefault="00526AAC" w:rsidP="007065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E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коллективы и учреждения, которые являются гордостью, достоянием любимого города выразили признательность и благодарность родной Удмуртии.</w:t>
            </w:r>
          </w:p>
          <w:p w:rsidR="00526AAC" w:rsidRDefault="00526AAC" w:rsidP="007065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C5AD8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Символично, что</w:t>
            </w:r>
            <w:r w:rsidRPr="00AC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AD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праздничную колонну «Моя Удмуртия - гордость моя» проходи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C5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</w:t>
            </w:r>
            <w:r w:rsidRPr="00AC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AD8">
              <w:rPr>
                <w:rFonts w:ascii="Times New Roman" w:eastAsia="Calibri" w:hAnsi="Times New Roman" w:cs="Times New Roman"/>
                <w:sz w:val="24"/>
                <w:szCs w:val="24"/>
              </w:rPr>
              <w:t>Года народного искусства и нематериального культурного наследия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AD8"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</w:p>
          <w:p w:rsidR="00526AAC" w:rsidRPr="009B23CC" w:rsidRDefault="00526AAC" w:rsidP="007065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Глазовский карнавал, на протяжении многих лет показывает единство, сплоченность, увлеченность в самореализации творческого проекта среди предприятий и учреждений города Глазова. 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15. Действия по развертыванию практики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26AAC" w:rsidRPr="009B23CC" w:rsidTr="00706576">
        <w:tc>
          <w:tcPr>
            <w:tcW w:w="562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247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 xml:space="preserve">Утвердить дату, место и время проведения праздничного </w:t>
            </w:r>
            <w:r>
              <w:rPr>
                <w:rFonts w:ascii="Times New Roman" w:hAnsi="Times New Roman"/>
                <w:sz w:val="24"/>
                <w:szCs w:val="24"/>
              </w:rPr>
              <w:t>Карнавала/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 xml:space="preserve">шествия </w:t>
            </w:r>
          </w:p>
        </w:tc>
        <w:tc>
          <w:tcPr>
            <w:tcW w:w="4247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Глазова по социальной политике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Рассмотреть маршрут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Карнавала/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>шествия</w:t>
            </w:r>
          </w:p>
        </w:tc>
        <w:tc>
          <w:tcPr>
            <w:tcW w:w="4247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КЦ «Россия» «</w:t>
            </w: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Подготовить письма на предприятия, учреждения города для участия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Карнавале/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>шествии</w:t>
            </w:r>
          </w:p>
        </w:tc>
        <w:tc>
          <w:tcPr>
            <w:tcW w:w="4247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Глазова,</w:t>
            </w:r>
          </w:p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КЦ «Россия» «</w:t>
            </w: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Назначить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ным за подготовку и проведение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Карнавала/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 xml:space="preserve">шествия </w:t>
            </w:r>
          </w:p>
        </w:tc>
        <w:tc>
          <w:tcPr>
            <w:tcW w:w="4247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КЦ «Россия» «</w:t>
            </w: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line="276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 совещание с участниками праздничного Карнавала/шествия (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>предприятиями, учреждениями города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47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КЦ «Россия» «</w:t>
            </w: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6AAC" w:rsidRPr="009B23CC" w:rsidTr="00706576">
        <w:tc>
          <w:tcPr>
            <w:tcW w:w="562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26AAC" w:rsidRPr="004F22FE" w:rsidRDefault="00526AAC" w:rsidP="007065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22FE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>репетиции у частниками праздничного Карнавала/шествия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22FE">
              <w:rPr>
                <w:rFonts w:ascii="Times New Roman" w:hAnsi="Times New Roman"/>
                <w:sz w:val="24"/>
                <w:szCs w:val="24"/>
              </w:rPr>
              <w:t>предприятиями, учреждениями города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47" w:type="dxa"/>
          </w:tcPr>
          <w:p w:rsidR="00526AAC" w:rsidRPr="004F22FE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КЦ «Россия» «</w:t>
            </w:r>
            <w:r w:rsidRPr="004F22FE">
              <w:rPr>
                <w:rFonts w:ascii="Times New Roman" w:eastAsia="Calibri" w:hAnsi="Times New Roman" w:cs="Times New Roman"/>
                <w:sz w:val="24"/>
                <w:szCs w:val="24"/>
              </w:rPr>
              <w:t>Дом дружбы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16. Нормативно-правовые акты, принятые для обеспечения реализации практики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526AAC" w:rsidRPr="009B23CC" w:rsidTr="00706576">
        <w:tc>
          <w:tcPr>
            <w:tcW w:w="704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538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Глазова </w:t>
            </w:r>
            <w:r w:rsidRPr="00CB7A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7AAA">
              <w:rPr>
                <w:rFonts w:ascii="Times New Roman" w:hAnsi="Times New Roman" w:cs="Times New Roman"/>
                <w:sz w:val="24"/>
                <w:szCs w:val="24"/>
              </w:rPr>
              <w:t>.05.2018 г. № 29/1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«О праздновании Дня города Глазова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3538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10.06.2018 г.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Глазова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 «О праздновании Дня города Глазова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3538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08.06.2019 г.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Глазова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 «О праздновании Дня города Глазова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3538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12.06.2021 г.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26AAC" w:rsidRPr="0073292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Глазова от 19.05.2022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2C">
              <w:rPr>
                <w:rFonts w:ascii="Times New Roman" w:hAnsi="Times New Roman" w:cs="Times New Roman"/>
                <w:sz w:val="24"/>
                <w:szCs w:val="24"/>
              </w:rPr>
              <w:t>29/10 «О праздновании Дня города Глазова в 2022 году»</w:t>
            </w:r>
          </w:p>
        </w:tc>
        <w:tc>
          <w:tcPr>
            <w:tcW w:w="3538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04.06.2022 г.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762"/>
        <w:gridCol w:w="2345"/>
        <w:gridCol w:w="3233"/>
      </w:tblGrid>
      <w:tr w:rsidR="00526AAC" w:rsidRPr="009B23CC" w:rsidTr="00706576">
        <w:tc>
          <w:tcPr>
            <w:tcW w:w="959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526AAC" w:rsidRPr="009B23CC" w:rsidTr="00706576">
        <w:tc>
          <w:tcPr>
            <w:tcW w:w="959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586"/>
        <w:gridCol w:w="4955"/>
      </w:tblGrid>
      <w:tr w:rsidR="00526AAC" w:rsidRPr="009B23CC" w:rsidTr="00706576">
        <w:tc>
          <w:tcPr>
            <w:tcW w:w="804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6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4955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526AAC" w:rsidRPr="009B23CC" w:rsidTr="00706576">
        <w:tc>
          <w:tcPr>
            <w:tcW w:w="804" w:type="dxa"/>
          </w:tcPr>
          <w:p w:rsidR="00526AAC" w:rsidRPr="001B3416" w:rsidRDefault="00526AAC" w:rsidP="0070657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</w:tcPr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СМИ, ТВС, социальные сети</w:t>
            </w:r>
          </w:p>
        </w:tc>
        <w:tc>
          <w:tcPr>
            <w:tcW w:w="4955" w:type="dxa"/>
          </w:tcPr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ходе и подготовке мероприятия</w:t>
            </w:r>
          </w:p>
        </w:tc>
      </w:tr>
      <w:tr w:rsidR="00526AAC" w:rsidRPr="009B23CC" w:rsidTr="00706576">
        <w:tc>
          <w:tcPr>
            <w:tcW w:w="804" w:type="dxa"/>
          </w:tcPr>
          <w:p w:rsidR="00526AAC" w:rsidRDefault="00526AAC" w:rsidP="0070657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4955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обеспечение праздника</w:t>
            </w:r>
          </w:p>
        </w:tc>
      </w:tr>
      <w:tr w:rsidR="00526AAC" w:rsidRPr="009B23CC" w:rsidTr="00706576">
        <w:tc>
          <w:tcPr>
            <w:tcW w:w="804" w:type="dxa"/>
          </w:tcPr>
          <w:p w:rsidR="00526AAC" w:rsidRDefault="00526AAC" w:rsidP="00706576">
            <w:pPr>
              <w:spacing w:after="0"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6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Население/жители города</w:t>
            </w:r>
          </w:p>
        </w:tc>
        <w:tc>
          <w:tcPr>
            <w:tcW w:w="4955" w:type="dxa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единомышленников, команда участников, зрителей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spellStart"/>
      <w:r w:rsidRPr="009B23CC">
        <w:rPr>
          <w:rFonts w:ascii="Times New Roman" w:eastAsia="Calibri" w:hAnsi="Times New Roman" w:cs="Times New Roman"/>
          <w:sz w:val="24"/>
          <w:szCs w:val="24"/>
        </w:rPr>
        <w:t>Выгодополучатели</w:t>
      </w:r>
      <w:proofErr w:type="spellEnd"/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(</w:t>
      </w:r>
      <w:r w:rsidRPr="009B23CC">
        <w:rPr>
          <w:rFonts w:ascii="Times New Roman" w:eastAsia="Calibri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526AAC" w:rsidRPr="009B23CC" w:rsidTr="00706576">
        <w:tc>
          <w:tcPr>
            <w:tcW w:w="704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/ группа </w:t>
            </w:r>
            <w:proofErr w:type="spellStart"/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672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26AAC" w:rsidRPr="009B23CC" w:rsidTr="00706576">
        <w:tc>
          <w:tcPr>
            <w:tcW w:w="704" w:type="dxa"/>
          </w:tcPr>
          <w:p w:rsidR="00526AAC" w:rsidRPr="002969C0" w:rsidRDefault="00526AAC" w:rsidP="007065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«Город Глазов»</w:t>
            </w:r>
          </w:p>
        </w:tc>
        <w:tc>
          <w:tcPr>
            <w:tcW w:w="4672" w:type="dxa"/>
          </w:tcPr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1.Формирование имиджа города.</w:t>
            </w:r>
          </w:p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потока туристов.</w:t>
            </w:r>
          </w:p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3. Расширение культурных, зрелищных мероприятий в рамках комплексной городской программы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  <w:r w:rsidRPr="002969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6AAC" w:rsidTr="007065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Pr="002969C0" w:rsidRDefault="00526AAC" w:rsidP="007065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 учреждения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1.Реклама предприятия/учреждения, 2. Сплочение коллектива</w:t>
            </w:r>
          </w:p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3.Создание условий для творческой самореализации участников шествия</w:t>
            </w:r>
          </w:p>
          <w:p w:rsidR="00526AAC" w:rsidRPr="002969C0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новых форм творчества и отдыха в неформальной обстановки</w:t>
            </w:r>
          </w:p>
        </w:tc>
      </w:tr>
      <w:tr w:rsidR="00526AAC" w:rsidRPr="001B3416" w:rsidTr="007065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Pr="001B3416" w:rsidRDefault="00526AAC" w:rsidP="007065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Pr="001B3416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C" w:rsidRPr="003267A9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267A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эмоции</w:t>
            </w:r>
          </w:p>
          <w:p w:rsidR="00526AAC" w:rsidRPr="003267A9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267A9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горожан в творческий процесс праздника</w:t>
            </w:r>
          </w:p>
          <w:p w:rsidR="00526AAC" w:rsidRPr="003267A9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267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чувства гордости за предприятия и учреждения города.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50"/>
        <w:gridCol w:w="1701"/>
        <w:gridCol w:w="2829"/>
      </w:tblGrid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Объем затрат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26AAC" w:rsidRPr="009B23CC" w:rsidTr="00706576">
        <w:tc>
          <w:tcPr>
            <w:tcW w:w="9345" w:type="dxa"/>
            <w:gridSpan w:val="4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на оформление головной машины.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Призовой фонд конкурса (сертификаты)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70 000,00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естный бюджет МО «Город Глазов»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изготовления дипломов и благодарностей (фотобумага, тонер)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9345" w:type="dxa"/>
            <w:gridSpan w:val="4"/>
          </w:tcPr>
          <w:p w:rsidR="00526AAC" w:rsidRPr="009B23CC" w:rsidRDefault="00526AAC" w:rsidP="0070657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на оформление головной машины.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13 000,00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Призовой фонд конкурса (сертификаты)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80 000,00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естный бюджет МО «Город Глазов»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изготовления дипломов и благодарностей (фотобумага, тонер)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1 950,00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9345" w:type="dxa"/>
            <w:gridSpan w:val="4"/>
          </w:tcPr>
          <w:p w:rsidR="00526AAC" w:rsidRPr="009B23CC" w:rsidRDefault="00526AAC" w:rsidP="0070657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на оформление головной машины.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Призовой фонд конкурса (сертификаты)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75 000,00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02C7">
              <w:rPr>
                <w:rFonts w:ascii="Times New Roman" w:hAnsi="Times New Roman"/>
                <w:sz w:val="24"/>
                <w:szCs w:val="24"/>
              </w:rPr>
              <w:t>естный бюджет МО «Город Глазов»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изготовления дипломов и благодарностей (рамки, фотобумага, тонер)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2 600,00</w:t>
            </w:r>
          </w:p>
        </w:tc>
        <w:tc>
          <w:tcPr>
            <w:tcW w:w="282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26AAC" w:rsidRPr="009B23CC" w:rsidTr="00706576">
        <w:tc>
          <w:tcPr>
            <w:tcW w:w="9345" w:type="dxa"/>
            <w:gridSpan w:val="4"/>
          </w:tcPr>
          <w:p w:rsidR="00526AAC" w:rsidRPr="009B23CC" w:rsidRDefault="00526AAC" w:rsidP="0070657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материалов на оформление головной машины. 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10 000,00</w:t>
            </w:r>
          </w:p>
        </w:tc>
        <w:tc>
          <w:tcPr>
            <w:tcW w:w="2829" w:type="dxa"/>
            <w:vMerge w:val="restart"/>
          </w:tcPr>
          <w:p w:rsidR="00526AA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победителя Конкурса социально-значимых проектов АО ЧМЗ. </w:t>
            </w:r>
          </w:p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(</w:t>
            </w:r>
            <w:r w:rsidRPr="004A2373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Конкурс на лучшую праздничную колонну "Моя Удмуртия - гордость моя", МБУК КЦ «Россия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Призовой фонд конкурса (сертификаты)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90 000,00</w:t>
            </w:r>
          </w:p>
        </w:tc>
        <w:tc>
          <w:tcPr>
            <w:tcW w:w="2829" w:type="dxa"/>
            <w:vMerge/>
          </w:tcPr>
          <w:p w:rsidR="00526AAC" w:rsidRPr="009B23CC" w:rsidRDefault="00526AAC" w:rsidP="0070657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AAC" w:rsidRPr="009B23CC" w:rsidTr="00706576">
        <w:tc>
          <w:tcPr>
            <w:tcW w:w="665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изготовления дипломов и благодарностей (рамки, фотобумага, тонер)</w:t>
            </w:r>
          </w:p>
        </w:tc>
        <w:tc>
          <w:tcPr>
            <w:tcW w:w="170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4 250,00</w:t>
            </w:r>
          </w:p>
        </w:tc>
        <w:tc>
          <w:tcPr>
            <w:tcW w:w="2829" w:type="dxa"/>
            <w:vMerge/>
          </w:tcPr>
          <w:p w:rsidR="00526AAC" w:rsidRPr="009B23CC" w:rsidRDefault="00526AAC" w:rsidP="0070657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9B23CC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6AAC" w:rsidRPr="009B23CC" w:rsidTr="00706576">
        <w:tc>
          <w:tcPr>
            <w:tcW w:w="9571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Проведенное мероприятие (карнавальное шествие) способствовало реализации практики за пределами города, района, Республики.</w:t>
            </w:r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21. Краткая информация о лидере практики/команде проекта </w:t>
      </w:r>
      <w:r w:rsidRPr="009B23CC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26AAC" w:rsidRPr="009B23CC" w:rsidTr="00706576">
        <w:tc>
          <w:tcPr>
            <w:tcW w:w="9605" w:type="dxa"/>
          </w:tcPr>
          <w:p w:rsidR="00526AAC" w:rsidRPr="009B23CC" w:rsidRDefault="00526AAC" w:rsidP="0070657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Малых Ольга Петровна стаж в культуре 22 года. На сегодняшний день является руководителем  филиала МБУК КЦ «Россия» - «Дом дружбы народов».</w:t>
            </w:r>
          </w:p>
        </w:tc>
      </w:tr>
    </w:tbl>
    <w:p w:rsidR="00526AAC" w:rsidRPr="009B23CC" w:rsidRDefault="00526AAC" w:rsidP="00526AA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22. Ссылки на </w:t>
      </w:r>
      <w:proofErr w:type="spellStart"/>
      <w:r w:rsidRPr="009B23CC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9B23CC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3CC">
        <w:rPr>
          <w:rFonts w:ascii="Times New Roman" w:eastAsia="Calibri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252"/>
        <w:gridCol w:w="3389"/>
      </w:tblGrid>
      <w:tr w:rsidR="00526AAC" w:rsidRPr="009B23CC" w:rsidTr="00706576">
        <w:tc>
          <w:tcPr>
            <w:tcW w:w="738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2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389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526AAC" w:rsidRPr="009B23CC" w:rsidTr="00706576">
        <w:tc>
          <w:tcPr>
            <w:tcW w:w="738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526AAC" w:rsidRPr="001B3416" w:rsidRDefault="00526AAC" w:rsidP="00706576">
            <w:pPr>
              <w:spacing w:after="0"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 социальных сетях</w:t>
            </w:r>
          </w:p>
        </w:tc>
        <w:tc>
          <w:tcPr>
            <w:tcW w:w="3389" w:type="dxa"/>
          </w:tcPr>
          <w:p w:rsidR="00526AAC" w:rsidRDefault="00526AAC" w:rsidP="007065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B3671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https://vk.com/domdruzhby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6AAC" w:rsidRDefault="00526AAC" w:rsidP="007065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B3671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https://vk.com/druzhbynarodov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6AAC" w:rsidRDefault="00526AAC" w:rsidP="007065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B3671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https://vk.com/kc.russia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26AAC" w:rsidRPr="009B23CC" w:rsidRDefault="00526AAC" w:rsidP="007065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B3671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https://work.vk.com/glazov_adm</w:t>
              </w:r>
            </w:hyperlink>
          </w:p>
        </w:tc>
      </w:tr>
      <w:tr w:rsidR="00526AAC" w:rsidRPr="009B23CC" w:rsidTr="00706576">
        <w:tc>
          <w:tcPr>
            <w:tcW w:w="738" w:type="dxa"/>
          </w:tcPr>
          <w:p w:rsidR="00526AAC" w:rsidRPr="009B23CC" w:rsidRDefault="00526AAC" w:rsidP="0070657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526AAC" w:rsidRPr="001B3416" w:rsidRDefault="00526AAC" w:rsidP="00706576">
            <w:pPr>
              <w:spacing w:after="0" w:line="36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3389" w:type="dxa"/>
          </w:tcPr>
          <w:p w:rsidR="00526AAC" w:rsidRPr="009B23CC" w:rsidRDefault="00526AAC" w:rsidP="0070657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44757B">
                <w:rPr>
                  <w:rFonts w:ascii="Arial" w:hAnsi="Arial" w:cs="Arial"/>
                  <w:sz w:val="21"/>
                  <w:szCs w:val="21"/>
                </w:rPr>
                <w:t>http://www.okc-russia.ru/</w:t>
              </w:r>
            </w:hyperlink>
          </w:p>
        </w:tc>
      </w:tr>
    </w:tbl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AAC" w:rsidRPr="009B23CC" w:rsidRDefault="00526AAC" w:rsidP="00526A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23CC">
        <w:rPr>
          <w:rFonts w:ascii="Times New Roman" w:eastAsia="Calibri" w:hAnsi="Times New Roman" w:cs="Times New Roman"/>
          <w:sz w:val="24"/>
          <w:szCs w:val="24"/>
        </w:rPr>
        <w:t>23. Список контактов, ответственных за реализацию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289"/>
      </w:tblGrid>
      <w:tr w:rsidR="00526AAC" w:rsidRPr="009B23CC" w:rsidTr="00706576">
        <w:tc>
          <w:tcPr>
            <w:tcW w:w="709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289" w:type="dxa"/>
          </w:tcPr>
          <w:p w:rsidR="00526AAC" w:rsidRPr="009B23CC" w:rsidRDefault="00526AAC" w:rsidP="007065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C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526AAC" w:rsidRPr="009B23CC" w:rsidTr="00706576">
        <w:tc>
          <w:tcPr>
            <w:tcW w:w="709" w:type="dxa"/>
          </w:tcPr>
          <w:p w:rsidR="00526AAC" w:rsidRPr="009B23CC" w:rsidRDefault="00526AAC" w:rsidP="00706576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Малых Ольга Петровна, заведующий филиалом МБУК КЦ «Россия»-«Дом дружбы народов»</w:t>
            </w:r>
          </w:p>
        </w:tc>
        <w:tc>
          <w:tcPr>
            <w:tcW w:w="3289" w:type="dxa"/>
          </w:tcPr>
          <w:p w:rsidR="00526AAC" w:rsidRPr="009B23CC" w:rsidRDefault="00526AAC" w:rsidP="007065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</w:t>
            </w:r>
            <w:r w:rsidRPr="0044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(34141) 3 46 11, электронная почта: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cnt</w:t>
            </w:r>
            <w:proofErr w:type="spellEnd"/>
            <w:r w:rsidRPr="0044757B">
              <w:rPr>
                <w:rFonts w:ascii="Times New Roman" w:eastAsia="Calibri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475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C7DAB" w:rsidRDefault="00DC7DAB"/>
    <w:sectPr w:rsidR="00DC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2B86"/>
    <w:multiLevelType w:val="hybridMultilevel"/>
    <w:tmpl w:val="A8DA2AC8"/>
    <w:lvl w:ilvl="0" w:tplc="7044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C"/>
    <w:rsid w:val="00526AAC"/>
    <w:rsid w:val="00D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4E6"/>
  <w15:chartTrackingRefBased/>
  <w15:docId w15:val="{570A83B1-F5FC-4D44-87C2-8DB48A8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A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vk.com/glazov_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c.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zhbynarod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mdruzh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c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2022-07-01T11:18:00Z</dcterms:created>
  <dcterms:modified xsi:type="dcterms:W3CDTF">2022-07-01T11:20:00Z</dcterms:modified>
</cp:coreProperties>
</file>